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General service record handling note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This addendum captures the profession-specific assumptions that should not be hidden inside a generic privacy notice.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Data likely to need explicit attention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access information, documents, images, invoices, payments, and messages.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Consent or acknowledgement areas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records, appointment notes, files, photos, optional marketing, and service messages kept separate.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Records to include in retention review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documents, consent records, complaints, incidents, invoices, and marketing consent.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Second addendum to consider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 and attachment consent addendum.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