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spacing w:after="240"/>
      </w:pPr>
      <w:r>
        <w:rPr>
          <w:rFonts w:ascii="Arial" w:hAnsi="Arial" w:cs="Arial"/>
          <w:sz w:val="45"/>
          <w:sz-cs w:val="45"/>
          <w:b/>
          <w:spacing w:val="0"/>
          <w:color w:val="0E1A1F"/>
        </w:rPr>
        <w:t xml:space="preserve">Breach log and incident record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Field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Notes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Date discovered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What happened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Data involved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client and site addresses, vehicle or property records, access instructions, diagnostic notes, job photos, parts and warranty records, invoices, payment details, and messages.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People affected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Immediate action taken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Risk decision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Is there a risk to people? Was ICO reporting considered?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Outcome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Prevention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What document, process, supplier, access, or training change is needed?</w:t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CocoaOOXMLWriter/2685.5</generator>
</meta>
</file>