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Retention schedule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Set periods based on your legal, insurance, tax, professional, and practical needs. Replace the example fields with your own decisions.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Record type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Reason kept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Period</w:t>
      </w:r>
    </w:p>
    <w:p>
      <w:pPr/>
      <w:r>
        <w:rPr>
          <w:rFonts w:ascii="Arial" w:hAnsi="Arial" w:cs="Arial"/>
          <w:sz w:val="28"/>
          <w:sz-cs w:val="28"/>
          <w:b/>
          <w:spacing w:val="0"/>
          <w:color w:val="0E1A1F"/>
        </w:rPr>
        <w:t xml:space="preserve">Action at end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contact details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Service delivery and contact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Delete or archive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Profession-specific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job notes, diagnostic records, photos, parts and warranty evidence, invoices, complaints, incidents, and supplier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Evidence of consent or acknowledgement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Review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Invoices and payment records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Tax, accounting, and payment history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Archive or delete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Complaints and breach logs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Accountability and evidence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[period]</w:t>
      </w:r>
    </w:p>
    <w:p>
      <w:pPr/>
      <w:r>
        <w:rPr>
          <w:rFonts w:ascii="Arial" w:hAnsi="Arial" w:cs="Arial"/>
          <w:sz w:val="28"/>
          <w:sz-cs w:val="28"/>
          <w:spacing w:val="0"/>
          <w:color w:val="0E1A1F"/>
        </w:rPr>
        <w:t xml:space="preserve">Retain securely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