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Retention schedule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Set periods based on your legal, insurance, tax, professional, and practical needs. Replace the example fields with your own decisions.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Record type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Reason kept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Period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Action at end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contact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delivery and contact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Delete or archive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access instructions, key records, property notes, recurring service records, complaints, incidents, invoices, and photo evidence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Evidence of consent or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 and 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Tax, accounting, and payment history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Archive or delete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and breach logs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Accountability and evidence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Retain securely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