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Retention schedule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Set periods based on your legal, insurance, tax, professional, and practical needs. Replace the example fields with your own decisions.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 type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Reason kept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Period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Action at end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contact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delivery and contact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Delete or archive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clinical or treatment notes, consent records, referral correspondence, complaints, incidents, invoices, and insurance-related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Evidence of consent or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 and 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Tax, accounting, and payment history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Archive or delete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and breach logs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Accountability and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Retain securely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