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Existing GDPR document update tracker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tracker before rewriting anything. The aim is to update existing documents cleanly, not restart the whole GDPR folder.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Document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Current version date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Profession-specific update area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Status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Owner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Privacy notice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special category health information, clinical or treatment notes, home visit access details, appointment records, images, referral notes, invoices, and communication records.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consent form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treatment records, relevant health information, clinical images where needed, referral communication, emergency contact details, and marketing consent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protection complaint route, 30 day acknowledgement, investigation notes, updates, and outcome response.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Subject access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Search locations, identity checks, third-party data review, response log, and deadline ownership.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Retention schedule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clinical or treatment notes, consent records, referral correspondence, complaints, incidents, invoices, and insurance-related evidence.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Breach log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Incident details, data involved, people affected, action taken, risk decision, reporting decision, and final outcome.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register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payments, messaging, forms, storage, accounting, website, and any specialist software.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