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Retention schedule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Set periods based on your legal, insurance, tax, professional, and practical needs. Replace the example fields with your own decisions.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 type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Reason kept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Period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Action at end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contact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delivery and contact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Delete or archive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screening forms, injury notes, progress records, photo consent, complaints, incidents, invoices, and marketing consent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Evidence of consent or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 and 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Tax, accounting, and payment history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Archive or delete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and breach logs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Accountability and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Retain securely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